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right"/>
        <w:rPr>
          <w:rFonts w:cstheme="minorHAnsi"/>
          <w:b/>
          <w:sz w:val="20"/>
          <w:szCs w:val="20"/>
          <w:lang w:eastAsia="pl-PL"/>
        </w:rPr>
      </w:pPr>
      <w:r>
        <w:rPr>
          <w:rFonts w:cstheme="minorHAnsi"/>
          <w:b/>
          <w:sz w:val="20"/>
          <w:szCs w:val="20"/>
          <w:lang w:eastAsia="pl-PL"/>
        </w:rPr>
        <w:t xml:space="preserve">Załącznik nr 2 do zapytania ofertowego– szczegółowy opis przedmiotu zamówienia </w:t>
      </w:r>
    </w:p>
    <w:p>
      <w:pPr>
        <w:jc w:val="right"/>
        <w:rPr>
          <w:rFonts w:cstheme="minorHAnsi"/>
          <w:sz w:val="20"/>
          <w:szCs w:val="20"/>
        </w:rPr>
      </w:pPr>
    </w:p>
    <w:p>
      <w:pPr>
        <w:jc w:val="center"/>
        <w:rPr>
          <w:rFonts w:cstheme="minorHAnsi"/>
          <w:b/>
          <w:sz w:val="20"/>
          <w:szCs w:val="20"/>
          <w:lang w:eastAsia="pl-PL"/>
        </w:rPr>
      </w:pPr>
      <w:r>
        <w:rPr>
          <w:rFonts w:cstheme="minorHAnsi"/>
          <w:b/>
          <w:sz w:val="20"/>
          <w:szCs w:val="20"/>
          <w:lang w:eastAsia="pl-PL"/>
        </w:rPr>
        <w:t>ZESTAWIENIE MINIMALNYCH GRANICZNYCH PARAMETRÓW TECHNICZNYCHZ OCENĄ ZADANIA</w:t>
      </w:r>
    </w:p>
    <w:p>
      <w:pPr>
        <w:rPr>
          <w:rFonts w:cstheme="minorHAnsi"/>
          <w:b/>
          <w:sz w:val="20"/>
          <w:szCs w:val="20"/>
          <w:lang w:eastAsia="pl-PL"/>
        </w:rPr>
      </w:pPr>
    </w:p>
    <w:p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Zakup aparatury medycznej: lampy operacyjnej</w:t>
      </w:r>
    </w:p>
    <w:p>
      <w:pPr>
        <w:rPr>
          <w:rFonts w:cstheme="minorHAnsi"/>
          <w:b/>
          <w:sz w:val="20"/>
          <w:szCs w:val="20"/>
        </w:rPr>
      </w:pPr>
    </w:p>
    <w:p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Zamówienie obejmuje: dostawę, montaż i uruchomienie.</w:t>
      </w:r>
    </w:p>
    <w:p>
      <w:pPr>
        <w:rPr>
          <w:rFonts w:cstheme="minorHAnsi"/>
          <w:b/>
          <w:sz w:val="20"/>
          <w:szCs w:val="20"/>
          <w:lang w:eastAsia="pl-PL"/>
        </w:rPr>
      </w:pPr>
      <w:r>
        <w:rPr>
          <w:rFonts w:cstheme="minorHAnsi"/>
          <w:b/>
          <w:sz w:val="20"/>
          <w:szCs w:val="20"/>
          <w:lang w:eastAsia="pl-PL"/>
        </w:rPr>
        <w:t xml:space="preserve">Termin realizacji: do ……… (max 6) tygodni od daty podpisania umowy. </w:t>
      </w:r>
    </w:p>
    <w:p>
      <w:pPr>
        <w:ind w:left="360"/>
        <w:rPr>
          <w:rFonts w:cstheme="minorHAnsi"/>
          <w:sz w:val="20"/>
          <w:szCs w:val="20"/>
        </w:rPr>
      </w:pPr>
    </w:p>
    <w:tbl>
      <w:tblPr>
        <w:tblW w:w="14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6649"/>
        <w:gridCol w:w="2268"/>
        <w:gridCol w:w="2693"/>
        <w:gridCol w:w="2410"/>
      </w:tblGrid>
      <w:tr>
        <w:trPr>
          <w:trHeight w:val="687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LP</w:t>
            </w:r>
          </w:p>
        </w:tc>
        <w:tc>
          <w:tcPr>
            <w:tcW w:w="6649" w:type="dxa"/>
            <w:vAlign w:val="center"/>
          </w:tcPr>
          <w:p>
            <w:pPr>
              <w:snapToGrid w:val="0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OPIS PARAMETRU</w:t>
            </w: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WARUNEK GRANICZNY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PARAMETR OFEROWANY</w:t>
            </w:r>
          </w:p>
        </w:tc>
        <w:tc>
          <w:tcPr>
            <w:tcW w:w="2410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bCs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SPOSÓB OCENY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Lampa operacyjna</w:t>
            </w:r>
          </w:p>
        </w:tc>
        <w:tc>
          <w:tcPr>
            <w:tcW w:w="2268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DD9C3" w:themeFill="background2" w:themeFillShade="E6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Producent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Model/Typ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Numer katalogowy</w:t>
            </w:r>
          </w:p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Rok produkcji – min. 2025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TAK, podać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6649" w:type="dxa"/>
            <w:vAlign w:val="center"/>
          </w:tcPr>
          <w:p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Fabrycznie nowy, nieużywany do prezentacji, wyklucza się aparaty demo, rekondycjonowane itd.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Dwuramienna diodowa lampa operacyjna, składająca się z:</w:t>
            </w:r>
          </w:p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1-ramię – czasza główna </w:t>
            </w:r>
          </w:p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2-ramię – czasza satelitarna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Czasze z elementami oświetleniowymi  emitujące światło białe wykorzystujące diody białe o różnej temperaturze barwowej. Nie dopuszcza się lamp z diodami innymi niż białe.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Natężenie oświetlenia czaszy głównej ≥ 155 000 [lux]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Natężenie oświetlenia czaszy głównej ≥ 155 000 [lux]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Współczynnik Ra: ≥ 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Ra = 98 – 0 pkt.</w:t>
            </w:r>
          </w:p>
          <w:p>
            <w:pPr>
              <w:snapToGrid w:val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Ra &gt; 98 – 5 pkt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Współczynnik R9: ≥ 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R9 = 98 – 0 pkt.</w:t>
            </w:r>
          </w:p>
          <w:p>
            <w:pPr>
              <w:snapToGrid w:val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R9 &gt; 98 – 5 pkt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Ilość źródeł świetlnych w czaszy głównej max. 10 [szt.]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Ilość źródeł świetlnych w czaszy satelitarnej max. 10 [szt.]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11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Maksymalna ilość diod w czaszy głównej max. 140 szt.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Maksymalna ilość diod w czaszy satelitarnej max. 140 szt.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13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Możliwość wymiany modułów za pomocą dedykowanego narzędzia, bez otwierania obudowy czaszy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14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Regulacja temperatury barwowej światła min. w 3 krokach w minimalnym zakresie 3800 – 4600 [K]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3 kroki – 5 pkt.;</w:t>
            </w:r>
          </w:p>
          <w:p>
            <w:pPr>
              <w:snapToGrid w:val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&gt; 3 kroki – 0 pkt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15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pStyle w:val="Default"/>
              <w:contextualSpacing/>
              <w:rPr>
                <w:rFonts w:asciiTheme="minorHAnsi" w:hAnsiTheme="minorHAnsi" w:cstheme="minorHAnsi"/>
                <w:strike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Regulacja średnicy pola bezcieniowego czaszy głównej i satelitarnej musi się zawierać  w przedziale min. 180 do 250mm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Szerszy zakres – 10 pkt. 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16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Regulacja średnicy pola za pomocą centralnego uchwytu sterującego czaszą i przyciskami panelu sterowania na czaszy lampy.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Regulacja 2 funkcji – 10 pkt.</w:t>
            </w:r>
          </w:p>
          <w:p>
            <w:pPr>
              <w:snapToGrid w:val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Regulacja 1 funkcji – 0 pkt. 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17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Jednakowe panele sterowania na lampie głównej i satelitarnej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Wgłębność oświetlenia lampy głównej i satelitarnej ≥ 100 [cm] (L1+L2)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Wgłębność ≥ 120 – 5 pkt</w:t>
            </w:r>
          </w:p>
          <w:p>
            <w:pPr>
              <w:snapToGrid w:val="0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Wgłębność &lt; 120 – 0 pkt. </w:t>
            </w: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19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Regulacja natężenia oświetlenia z panelu sterowniczego umieszczonego na czaszy lampy w zakresie min. 30 – 100%, w tym białe oświetlenie endoskopowe 5%.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Pozycjonowanie lampy sterylizowanym uchwytem lampy i dodatkowo min. trzema „brudnymi” uchwytami umieszczonymi na czaszy lampy głównej oraz satelitarnej.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21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Obrót wszystkich ramion czasz lampy wokół osi pionowej o 360° (bez blokady)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22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Zasilanie: 230V (+/-) 10%, 50 [Hz]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23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Jednostka zasilająca lampy wyposażona w układ awaryjny. W momencie zaniku głównego napięcia 230 VAC, układ automatycznie uruchamia szpitalne napięcie awaryjne 24VDC.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24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Stopień ochrony: czasz min. IP 42, systemu ramion min. IP 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25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 xml:space="preserve">Żywotność układu świetlnego – min. 60 000 [h]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lastRenderedPageBreak/>
              <w:t>26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Powierzchnia kopuł gładka, bez widocznych śrub lub nitów mocujących, wykonana z materiałów odpornych na działanie środków dezynfekujących.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tcBorders>
              <w:top w:val="single" w:sz="4" w:space="0" w:color="auto"/>
            </w:tcBorders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27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Czasza o konstrukcji „bez szybowej”, wyposażona w moduły światła ze zintegrowaną uszczelką zapobiegającą dostawaniu się do środka wilgoci oraz płynów podczas używania środków czyszczących.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28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Obudowa lampy przystosowana do współpracy z obiegiem laminarnym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29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Dodatkowe uchwyty sterylizowane – po 5 szt. na każdą czaszę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30</w:t>
            </w:r>
          </w:p>
        </w:tc>
        <w:tc>
          <w:tcPr>
            <w:tcW w:w="6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contextualSpacing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Mocowanie uchwytu sterylizowanego na zatrzask „klikowy” realizowany za pomocą jednej ręki.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jc w:val="center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Tak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>
            <w:pPr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>
            <w:pPr>
              <w:snapToGrid w:val="0"/>
              <w:rPr>
                <w:rFonts w:cstheme="minorHAnsi"/>
                <w:sz w:val="22"/>
                <w:szCs w:val="22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6649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/>
                <w:snapToGrid w:val="0"/>
                <w:color w:val="000000"/>
                <w:sz w:val="20"/>
                <w:szCs w:val="20"/>
              </w:rPr>
              <w:t>Warunki gwarancyjne i serwisowe</w:t>
            </w:r>
          </w:p>
        </w:tc>
        <w:tc>
          <w:tcPr>
            <w:tcW w:w="2268" w:type="dxa"/>
            <w:shd w:val="clear" w:color="auto" w:fill="DDD9C3" w:themeFill="background2" w:themeFillShade="E6"/>
          </w:tcPr>
          <w:p>
            <w:pPr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DD9C3" w:themeFill="background2" w:themeFillShade="E6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31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Okres gwarancji  min. 24 miesiące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TAK, podać</w:t>
            </w:r>
          </w:p>
          <w:p>
            <w:pPr>
              <w:snapToGrid w:val="0"/>
              <w:jc w:val="center"/>
              <w:rPr>
                <w:rFonts w:eastAsia="Calibri" w:cstheme="minorHAnsi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32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Cena oferty zawiera wykonanie przeglądu / przeglądów w okresie gwarancyjnym, zgodnie z wymaganiami / zaleceniami producenta.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33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przystąpić do usunięcia wady, usterki lub awarii w terminie 48 godzin.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>
        <w:trPr>
          <w:trHeight w:val="454"/>
          <w:jc w:val="center"/>
        </w:trPr>
        <w:tc>
          <w:tcPr>
            <w:tcW w:w="601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34</w:t>
            </w:r>
          </w:p>
        </w:tc>
        <w:tc>
          <w:tcPr>
            <w:tcW w:w="6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rPr>
                <w:rFonts w:eastAsia="Calibri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W przypadku zgłoszenia wady, usterki lub awarii przedmiotu umowy lub jego elementu, Wykonawca zobowiązany jest do usunięcia wady, usterki lub awarii w terminie 5 dni roboczych od daty zgłoszenia.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>
            <w:pPr>
              <w:snapToGrid w:val="0"/>
              <w:jc w:val="center"/>
              <w:rPr>
                <w:rFonts w:eastAsia="Calibri,Arial" w:cstheme="minorHAnsi"/>
                <w:sz w:val="20"/>
                <w:szCs w:val="20"/>
              </w:rPr>
            </w:pPr>
            <w:r>
              <w:rPr>
                <w:rFonts w:eastAsia="Calibri" w:cstheme="minorHAnsi"/>
                <w:sz w:val="20"/>
                <w:szCs w:val="20"/>
              </w:rPr>
              <w:t>TAK</w:t>
            </w:r>
          </w:p>
        </w:tc>
        <w:tc>
          <w:tcPr>
            <w:tcW w:w="2693" w:type="dxa"/>
            <w:vAlign w:val="center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10" w:type="dxa"/>
          </w:tcPr>
          <w:p>
            <w:pPr>
              <w:snapToGrid w:val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>
      <w:pPr>
        <w:pStyle w:val="Tekstpodstawowy"/>
        <w:spacing w:after="0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</w:p>
    <w:p>
      <w:pPr>
        <w:pStyle w:val="Tekstblokowy1"/>
        <w:spacing w:line="30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Treść oświadczenia wykonawcy: </w:t>
      </w:r>
    </w:p>
    <w:p>
      <w:pPr>
        <w:pStyle w:val="Tekstblokowy1"/>
        <w:numPr>
          <w:ilvl w:val="0"/>
          <w:numId w:val="2"/>
        </w:numPr>
        <w:tabs>
          <w:tab w:val="clear" w:pos="720"/>
          <w:tab w:val="num" w:pos="284"/>
        </w:tabs>
        <w:spacing w:line="300" w:lineRule="auto"/>
        <w:ind w:left="284" w:right="118" w:hanging="284"/>
        <w:jc w:val="both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Oświadczamy, że przedstawione powyżej dane są prawdziwe oraz zobowiązujemy się w przypadku wygrania przetargu do dostarczenia aparatury spełniającej wyspecyfikowane parametry.</w:t>
      </w:r>
    </w:p>
    <w:p>
      <w:pPr>
        <w:pStyle w:val="Tekstblokowy1"/>
        <w:numPr>
          <w:ilvl w:val="0"/>
          <w:numId w:val="2"/>
        </w:numPr>
        <w:tabs>
          <w:tab w:val="clear" w:pos="720"/>
          <w:tab w:val="num" w:pos="284"/>
        </w:tabs>
        <w:spacing w:line="300" w:lineRule="auto"/>
        <w:ind w:left="284" w:right="118" w:hanging="284"/>
        <w:jc w:val="both"/>
        <w:rPr>
          <w:rFonts w:asciiTheme="minorHAnsi" w:hAnsiTheme="minorHAnsi" w:cstheme="minorHAnsi"/>
          <w:b w:val="0"/>
        </w:rPr>
      </w:pPr>
      <w:r>
        <w:rPr>
          <w:rFonts w:asciiTheme="minorHAnsi" w:hAnsiTheme="minorHAnsi" w:cstheme="minorHAnsi"/>
          <w:b w:val="0"/>
        </w:rPr>
        <w:t>Oświadczamy, że oferowany, powyżej wyspecyfikowany sprzęt jest kompletny i po zainstalowaniu będzie gotowy do eksploatacji, bez żadnych dodatkowych zakupów i inwestycji (poza typowymi, znormalizowanymi materiałami eksploatacyjnymi i przygotowaniem adaptacyjnym pomieszczenia).</w:t>
      </w:r>
    </w:p>
    <w:p>
      <w:pPr>
        <w:pStyle w:val="Tekstpodstawowy"/>
        <w:spacing w:after="0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>
      <w:pPr>
        <w:ind w:left="4956" w:firstLine="708"/>
        <w:jc w:val="center"/>
        <w:rPr>
          <w:rFonts w:cstheme="minorHAnsi"/>
          <w:bCs/>
          <w:iCs/>
          <w:sz w:val="20"/>
          <w:szCs w:val="20"/>
        </w:rPr>
      </w:pPr>
      <w:r>
        <w:rPr>
          <w:rFonts w:cstheme="minorHAnsi"/>
          <w:bCs/>
          <w:iCs/>
          <w:sz w:val="20"/>
          <w:szCs w:val="20"/>
        </w:rPr>
        <w:t>…..…………..…………………………………</w:t>
      </w:r>
    </w:p>
    <w:p>
      <w:pPr>
        <w:ind w:left="5245" w:right="-2"/>
        <w:jc w:val="center"/>
        <w:rPr>
          <w:rFonts w:cstheme="minorHAnsi"/>
          <w:bCs/>
          <w:i/>
          <w:iCs/>
          <w:sz w:val="20"/>
          <w:szCs w:val="20"/>
        </w:rPr>
      </w:pPr>
      <w:r>
        <w:rPr>
          <w:rFonts w:cstheme="minorHAnsi"/>
          <w:bCs/>
          <w:i/>
          <w:iCs/>
          <w:sz w:val="20"/>
          <w:szCs w:val="20"/>
        </w:rPr>
        <w:t>(podpis upoważnionego przedstawiciela Wykonawcy)</w:t>
      </w:r>
    </w:p>
    <w:p>
      <w:pPr>
        <w:ind w:right="-2"/>
        <w:rPr>
          <w:rFonts w:cstheme="minorHAnsi"/>
          <w:bCs/>
          <w:i/>
          <w:iCs/>
          <w:sz w:val="20"/>
          <w:szCs w:val="20"/>
        </w:rPr>
      </w:pPr>
    </w:p>
    <w:sectPr>
      <w:pgSz w:w="16838" w:h="11906" w:orient="landscape"/>
      <w:pgMar w:top="1135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AmplitudeCE Book">
    <w:altName w:val="Arial"/>
    <w:charset w:val="00"/>
    <w:family w:val="swiss"/>
    <w:pitch w:val="default"/>
  </w:font>
  <w:font w:name="Arial CE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2" w15:restartNumberingAfterBreak="0">
    <w:nsid w:val="00000003"/>
    <w:multiLevelType w:val="singleLevel"/>
    <w:tmpl w:val="92707CC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</w:abstractNum>
  <w:abstractNum w:abstractNumId="4" w15:restartNumberingAfterBreak="0">
    <w:nsid w:val="05C2081B"/>
    <w:multiLevelType w:val="hybridMultilevel"/>
    <w:tmpl w:val="5052D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547EEA"/>
    <w:multiLevelType w:val="hybridMultilevel"/>
    <w:tmpl w:val="306E6A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323646"/>
    <w:multiLevelType w:val="hybridMultilevel"/>
    <w:tmpl w:val="A404B2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DC35BC">
      <w:start w:val="1"/>
      <w:numFmt w:val="bullet"/>
      <w:lvlText w:val=""/>
      <w:lvlJc w:val="left"/>
      <w:pPr>
        <w:tabs>
          <w:tab w:val="num" w:pos="567"/>
        </w:tabs>
        <w:ind w:left="567" w:hanging="113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7F7744"/>
    <w:multiLevelType w:val="hybridMultilevel"/>
    <w:tmpl w:val="7D0EF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53EB6"/>
    <w:multiLevelType w:val="hybridMultilevel"/>
    <w:tmpl w:val="1D1C0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E603AC"/>
    <w:multiLevelType w:val="hybridMultilevel"/>
    <w:tmpl w:val="DC4A85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C63C4"/>
    <w:multiLevelType w:val="hybridMultilevel"/>
    <w:tmpl w:val="390E5D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0914E1"/>
    <w:multiLevelType w:val="hybridMultilevel"/>
    <w:tmpl w:val="43CAF6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0E4E02"/>
    <w:multiLevelType w:val="hybridMultilevel"/>
    <w:tmpl w:val="E93E7D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2D78F8"/>
    <w:multiLevelType w:val="hybridMultilevel"/>
    <w:tmpl w:val="38022B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E46A8"/>
    <w:multiLevelType w:val="hybridMultilevel"/>
    <w:tmpl w:val="A9B03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B4277C"/>
    <w:multiLevelType w:val="hybridMultilevel"/>
    <w:tmpl w:val="B9BAA6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785"/>
        </w:tabs>
        <w:ind w:left="78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14"/>
  </w:num>
  <w:num w:numId="6">
    <w:abstractNumId w:val="9"/>
  </w:num>
  <w:num w:numId="7">
    <w:abstractNumId w:val="4"/>
  </w:num>
  <w:num w:numId="8">
    <w:abstractNumId w:val="11"/>
  </w:num>
  <w:num w:numId="9">
    <w:abstractNumId w:val="6"/>
  </w:num>
  <w:num w:numId="10">
    <w:abstractNumId w:val="10"/>
  </w:num>
  <w:num w:numId="11">
    <w:abstractNumId w:val="8"/>
  </w:num>
  <w:num w:numId="12">
    <w:abstractNumId w:val="13"/>
  </w:num>
  <w:num w:numId="13">
    <w:abstractNumId w:val="7"/>
  </w:num>
  <w:num w:numId="14">
    <w:abstractNumId w:val="12"/>
  </w:num>
  <w:num w:numId="1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CB20A3-C5A8-4011-948E-66C1D23B5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numPr>
        <w:numId w:val="1"/>
      </w:numPr>
      <w:suppressAutoHyphens/>
      <w:spacing w:before="240" w:after="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en-US" w:eastAsia="zh-CN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suppressAutoHyphens/>
      <w:spacing w:before="240" w:after="60"/>
      <w:outlineLvl w:val="1"/>
    </w:pPr>
    <w:rPr>
      <w:rFonts w:ascii="Arial" w:eastAsia="Times New Roman" w:hAnsi="Arial" w:cs="Arial"/>
      <w:b/>
      <w:bCs/>
      <w:i/>
      <w:iCs/>
      <w:kern w:val="1"/>
      <w:sz w:val="28"/>
      <w:szCs w:val="28"/>
      <w:lang w:val="en-US" w:eastAsia="zh-CN"/>
    </w:rPr>
  </w:style>
  <w:style w:type="paragraph" w:styleId="Nagwek3">
    <w:name w:val="heading 3"/>
    <w:basedOn w:val="Normalny"/>
    <w:next w:val="Normalny"/>
    <w:link w:val="Nagwek3Znak"/>
    <w:qFormat/>
    <w:pPr>
      <w:keepNext/>
      <w:numPr>
        <w:ilvl w:val="2"/>
        <w:numId w:val="1"/>
      </w:numPr>
      <w:suppressAutoHyphens/>
      <w:autoSpaceDE w:val="0"/>
      <w:jc w:val="center"/>
      <w:outlineLvl w:val="2"/>
    </w:pPr>
    <w:rPr>
      <w:rFonts w:ascii="Times New Roman" w:eastAsia="Times New Roman" w:hAnsi="Times New Roman" w:cs="Times New Roman"/>
      <w:b/>
      <w:bCs/>
      <w:kern w:val="1"/>
      <w:sz w:val="32"/>
      <w:szCs w:val="32"/>
      <w:lang w:eastAsia="zh-CN"/>
    </w:rPr>
  </w:style>
  <w:style w:type="paragraph" w:styleId="Nagwek4">
    <w:name w:val="heading 4"/>
    <w:basedOn w:val="Normalny"/>
    <w:next w:val="Normalny"/>
    <w:link w:val="Nagwek4Znak"/>
    <w:qFormat/>
    <w:pPr>
      <w:keepNext/>
      <w:numPr>
        <w:ilvl w:val="3"/>
        <w:numId w:val="1"/>
      </w:numPr>
      <w:suppressAutoHyphens/>
      <w:outlineLvl w:val="3"/>
    </w:pPr>
    <w:rPr>
      <w:rFonts w:ascii="Times New Roman" w:eastAsia="Times New Roman" w:hAnsi="Times New Roman" w:cs="Times New Roman"/>
      <w:kern w:val="1"/>
      <w:sz w:val="28"/>
      <w:szCs w:val="20"/>
      <w:lang w:eastAsia="zh-CN"/>
    </w:rPr>
  </w:style>
  <w:style w:type="paragraph" w:styleId="Nagwek5">
    <w:name w:val="heading 5"/>
    <w:basedOn w:val="Normalny"/>
    <w:next w:val="Normalny"/>
    <w:link w:val="Nagwek5Znak"/>
    <w:qFormat/>
    <w:pPr>
      <w:numPr>
        <w:ilvl w:val="4"/>
        <w:numId w:val="1"/>
      </w:numPr>
      <w:suppressAutoHyphens/>
      <w:spacing w:before="240" w:after="60"/>
      <w:outlineLvl w:val="4"/>
    </w:pPr>
    <w:rPr>
      <w:rFonts w:ascii="Calibri" w:eastAsia="Times New Roman" w:hAnsi="Calibri" w:cs="Calibri"/>
      <w:b/>
      <w:bCs/>
      <w:i/>
      <w:iCs/>
      <w:kern w:val="1"/>
      <w:sz w:val="26"/>
      <w:szCs w:val="26"/>
      <w:lang w:val="en-US" w:eastAsia="zh-CN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pl-PL"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ilvl w:val="7"/>
        <w:numId w:val="1"/>
      </w:numPr>
      <w:suppressAutoHyphens/>
      <w:autoSpaceDE w:val="0"/>
      <w:jc w:val="right"/>
      <w:outlineLvl w:val="7"/>
    </w:pPr>
    <w:rPr>
      <w:rFonts w:ascii="Times New Roman" w:eastAsia="Times New Roman" w:hAnsi="Times New Roman" w:cs="Times New Roman"/>
      <w:kern w:val="1"/>
      <w:sz w:val="28"/>
      <w:szCs w:val="28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</w:style>
  <w:style w:type="paragraph" w:styleId="Stopka">
    <w:name w:val="footer"/>
    <w:basedOn w:val="Normalny"/>
    <w:link w:val="StopkaZnak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Pr>
      <w:rFonts w:ascii="Arial" w:eastAsia="Times New Roman" w:hAnsi="Arial" w:cs="Arial"/>
      <w:b/>
      <w:bCs/>
      <w:kern w:val="1"/>
      <w:sz w:val="32"/>
      <w:szCs w:val="32"/>
      <w:lang w:val="en-US" w:eastAsia="zh-CN"/>
    </w:rPr>
  </w:style>
  <w:style w:type="character" w:customStyle="1" w:styleId="Nagwek2Znak">
    <w:name w:val="Nagłówek 2 Znak"/>
    <w:basedOn w:val="Domylnaczcionkaakapitu"/>
    <w:link w:val="Nagwek2"/>
    <w:rPr>
      <w:rFonts w:ascii="Arial" w:eastAsia="Times New Roman" w:hAnsi="Arial" w:cs="Arial"/>
      <w:b/>
      <w:bCs/>
      <w:i/>
      <w:iCs/>
      <w:kern w:val="1"/>
      <w:sz w:val="28"/>
      <w:szCs w:val="28"/>
      <w:lang w:val="en-US" w:eastAsia="zh-CN"/>
    </w:rPr>
  </w:style>
  <w:style w:type="character" w:customStyle="1" w:styleId="Nagwek3Znak">
    <w:name w:val="Nagłówek 3 Znak"/>
    <w:basedOn w:val="Domylnaczcionkaakapitu"/>
    <w:link w:val="Nagwek3"/>
    <w:rPr>
      <w:rFonts w:ascii="Times New Roman" w:eastAsia="Times New Roman" w:hAnsi="Times New Roman" w:cs="Times New Roman"/>
      <w:b/>
      <w:bCs/>
      <w:kern w:val="1"/>
      <w:sz w:val="32"/>
      <w:szCs w:val="32"/>
      <w:lang w:eastAsia="zh-CN"/>
    </w:rPr>
  </w:style>
  <w:style w:type="character" w:customStyle="1" w:styleId="Nagwek4Znak">
    <w:name w:val="Nagłówek 4 Znak"/>
    <w:basedOn w:val="Domylnaczcionkaakapitu"/>
    <w:link w:val="Nagwek4"/>
    <w:rPr>
      <w:rFonts w:ascii="Times New Roman" w:eastAsia="Times New Roman" w:hAnsi="Times New Roman" w:cs="Times New Roman"/>
      <w:kern w:val="1"/>
      <w:sz w:val="28"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rPr>
      <w:rFonts w:ascii="Calibri" w:eastAsia="Times New Roman" w:hAnsi="Calibri" w:cs="Calibri"/>
      <w:b/>
      <w:bCs/>
      <w:i/>
      <w:iCs/>
      <w:kern w:val="1"/>
      <w:sz w:val="26"/>
      <w:szCs w:val="26"/>
      <w:lang w:val="en-US" w:eastAsia="zh-CN"/>
    </w:rPr>
  </w:style>
  <w:style w:type="character" w:customStyle="1" w:styleId="Nagwek8Znak">
    <w:name w:val="Nagłówek 8 Znak"/>
    <w:basedOn w:val="Domylnaczcionkaakapitu"/>
    <w:link w:val="Nagwek8"/>
    <w:rPr>
      <w:rFonts w:ascii="Times New Roman" w:eastAsia="Times New Roman" w:hAnsi="Times New Roman" w:cs="Times New Roman"/>
      <w:kern w:val="1"/>
      <w:sz w:val="28"/>
      <w:szCs w:val="28"/>
      <w:lang w:eastAsia="zh-CN"/>
    </w:rPr>
  </w:style>
  <w:style w:type="paragraph" w:styleId="Bezodstpw">
    <w:name w:val="No Spacing"/>
    <w:link w:val="BezodstpwZnak"/>
    <w:qFormat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Pr>
      <w:rFonts w:ascii="Calibri" w:eastAsia="Times New Roman" w:hAnsi="Calibri" w:cs="Times New Roman"/>
      <w:lang w:eastAsia="pl-PL"/>
    </w:rPr>
  </w:style>
  <w:style w:type="character" w:customStyle="1" w:styleId="WW8Num2z0">
    <w:name w:val="WW8Num2z0"/>
    <w:rPr>
      <w:sz w:val="20"/>
      <w:szCs w:val="20"/>
    </w:rPr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WW8Num3z0">
    <w:name w:val="WW8Num3z0"/>
    <w:rPr>
      <w:sz w:val="20"/>
      <w:szCs w:val="20"/>
    </w:rPr>
  </w:style>
  <w:style w:type="character" w:customStyle="1" w:styleId="Domylnaczcionkaakapitu1">
    <w:name w:val="Domyślna czcionka akapitu1"/>
  </w:style>
  <w:style w:type="character" w:customStyle="1" w:styleId="ZnakZnak9">
    <w:name w:val="Znak Znak9"/>
    <w:rPr>
      <w:rFonts w:ascii="Arial" w:eastAsia="Times New Roman" w:hAnsi="Arial" w:cs="Times New Roman"/>
      <w:b/>
      <w:bCs/>
      <w:kern w:val="1"/>
      <w:sz w:val="32"/>
      <w:szCs w:val="32"/>
      <w:lang w:val="en-US"/>
    </w:rPr>
  </w:style>
  <w:style w:type="character" w:customStyle="1" w:styleId="ZnakZnak8">
    <w:name w:val="Znak Znak8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ZnakZnak7">
    <w:name w:val="Znak Znak7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ZnakZnak6">
    <w:name w:val="Znak Znak6"/>
    <w:rPr>
      <w:rFonts w:ascii="Times New Roman" w:eastAsia="Times New Roman" w:hAnsi="Times New Roman" w:cs="Times New Roman"/>
      <w:sz w:val="28"/>
      <w:szCs w:val="20"/>
    </w:rPr>
  </w:style>
  <w:style w:type="character" w:customStyle="1" w:styleId="ZnakZnak5">
    <w:name w:val="Znak Znak5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ZnakZnak4">
    <w:name w:val="Znak Znak4"/>
    <w:rPr>
      <w:rFonts w:ascii="Times New Roman" w:eastAsia="Times New Roman" w:hAnsi="Times New Roman" w:cs="Times New Roman"/>
      <w:sz w:val="28"/>
      <w:szCs w:val="28"/>
    </w:rPr>
  </w:style>
  <w:style w:type="character" w:customStyle="1" w:styleId="ZnakZnak3">
    <w:name w:val="Znak Znak3"/>
    <w:rPr>
      <w:rFonts w:ascii="Times New Roman" w:eastAsia="Times New Roman" w:hAnsi="Times New Roman" w:cs="Times New Roman"/>
      <w:lang w:val="en-US"/>
    </w:rPr>
  </w:style>
  <w:style w:type="character" w:customStyle="1" w:styleId="ZnakZnak2">
    <w:name w:val="Znak Znak2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ZnakZnak1">
    <w:name w:val="Znak Znak1"/>
    <w:rPr>
      <w:rFonts w:ascii="Times New Roman" w:eastAsia="Times New Roman" w:hAnsi="Times New Roman" w:cs="Times New Roman"/>
      <w:lang w:val="en-US"/>
    </w:rPr>
  </w:style>
  <w:style w:type="character" w:customStyle="1" w:styleId="ZnakZnak">
    <w:name w:val="Znak Znak"/>
    <w:rPr>
      <w:rFonts w:ascii="Tahoma" w:eastAsia="Times New Roman" w:hAnsi="Tahoma" w:cs="Times New Roman"/>
      <w:sz w:val="16"/>
      <w:szCs w:val="16"/>
      <w:lang w:val="en-GB"/>
    </w:rPr>
  </w:style>
  <w:style w:type="character" w:customStyle="1" w:styleId="karta02">
    <w:name w:val="karta02"/>
  </w:style>
  <w:style w:type="character" w:styleId="Pogrubienie">
    <w:name w:val="Strong"/>
    <w:qFormat/>
    <w:rPr>
      <w:b/>
      <w:bCs/>
    </w:rPr>
  </w:style>
  <w:style w:type="paragraph" w:customStyle="1" w:styleId="Nagwek20">
    <w:name w:val="Nagłówek2"/>
    <w:basedOn w:val="Normalny"/>
    <w:next w:val="Tekstpodstawowy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val="en-US" w:eastAsia="zh-CN"/>
    </w:rPr>
  </w:style>
  <w:style w:type="paragraph" w:styleId="Tekstpodstawowy">
    <w:name w:val="Body Text"/>
    <w:basedOn w:val="Normalny"/>
    <w:link w:val="TekstpodstawowyZnak"/>
    <w:pPr>
      <w:suppressAutoHyphens/>
      <w:spacing w:after="120"/>
    </w:pPr>
    <w:rPr>
      <w:rFonts w:ascii="Times New Roman" w:eastAsia="Times New Roman" w:hAnsi="Times New Roman" w:cs="Times New Roman"/>
      <w:kern w:val="1"/>
      <w:lang w:val="en-US" w:eastAsia="zh-CN"/>
    </w:rPr>
  </w:style>
  <w:style w:type="character" w:customStyle="1" w:styleId="TekstpodstawowyZnak">
    <w:name w:val="Tekst podstawowy Znak"/>
    <w:basedOn w:val="Domylnaczcionkaakapitu"/>
    <w:link w:val="Tekstpodstawowy"/>
    <w:rPr>
      <w:rFonts w:ascii="Times New Roman" w:eastAsia="Times New Roman" w:hAnsi="Times New Roman" w:cs="Times New Roman"/>
      <w:kern w:val="1"/>
      <w:sz w:val="24"/>
      <w:szCs w:val="24"/>
      <w:lang w:val="en-US" w:eastAsia="zh-CN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uppressAutoHyphens/>
      <w:spacing w:before="120" w:after="120"/>
    </w:pPr>
    <w:rPr>
      <w:rFonts w:ascii="Times New Roman" w:eastAsia="Times New Roman" w:hAnsi="Times New Roman" w:cs="Mangal"/>
      <w:i/>
      <w:iCs/>
      <w:kern w:val="1"/>
      <w:lang w:val="en-US" w:eastAsia="zh-CN"/>
    </w:rPr>
  </w:style>
  <w:style w:type="paragraph" w:customStyle="1" w:styleId="Indeks">
    <w:name w:val="Indeks"/>
    <w:basedOn w:val="Normalny"/>
    <w:pPr>
      <w:suppressLineNumbers/>
      <w:suppressAutoHyphens/>
    </w:pPr>
    <w:rPr>
      <w:rFonts w:ascii="Times New Roman" w:eastAsia="Times New Roman" w:hAnsi="Times New Roman" w:cs="Mangal"/>
      <w:kern w:val="1"/>
      <w:lang w:val="en-US" w:eastAsia="zh-CN"/>
    </w:rPr>
  </w:style>
  <w:style w:type="paragraph" w:customStyle="1" w:styleId="Nagwek10">
    <w:name w:val="Nagłówek1"/>
    <w:basedOn w:val="Normalny"/>
    <w:next w:val="Tekstpodstawowy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val="en-US" w:eastAsia="zh-CN"/>
    </w:rPr>
  </w:style>
  <w:style w:type="paragraph" w:customStyle="1" w:styleId="Legenda1">
    <w:name w:val="Legenda1"/>
    <w:basedOn w:val="Normalny"/>
    <w:pPr>
      <w:suppressLineNumbers/>
      <w:suppressAutoHyphens/>
      <w:spacing w:before="120" w:after="120"/>
    </w:pPr>
    <w:rPr>
      <w:rFonts w:ascii="Times New Roman" w:eastAsia="Times New Roman" w:hAnsi="Times New Roman" w:cs="Mangal"/>
      <w:i/>
      <w:iCs/>
      <w:kern w:val="1"/>
      <w:lang w:val="en-US" w:eastAsia="zh-CN"/>
    </w:rPr>
  </w:style>
  <w:style w:type="paragraph" w:customStyle="1" w:styleId="Tekstpodstawowy21">
    <w:name w:val="Tekst podstawowy 21"/>
    <w:basedOn w:val="Normalny"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sz w:val="20"/>
      <w:szCs w:val="20"/>
      <w:lang w:val="en-US" w:eastAsia="zh-CN"/>
    </w:rPr>
  </w:style>
  <w:style w:type="paragraph" w:customStyle="1" w:styleId="Zawartotabeli">
    <w:name w:val="Zawartość tabeli"/>
    <w:basedOn w:val="Normalny"/>
    <w:pPr>
      <w:suppressLineNumbers/>
      <w:suppressAutoHyphens/>
    </w:pPr>
    <w:rPr>
      <w:rFonts w:ascii="Times New Roman" w:eastAsia="Times New Roman" w:hAnsi="Times New Roman" w:cs="Times New Roman"/>
      <w:kern w:val="1"/>
      <w:lang w:val="en-US" w:eastAsia="zh-C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ableContents">
    <w:name w:val="Table Contents"/>
    <w:basedOn w:val="Normalny"/>
    <w:pPr>
      <w:widowControl w:val="0"/>
      <w:suppressLineNumbers/>
      <w:suppressAutoHyphens/>
      <w:textAlignment w:val="baseline"/>
    </w:pPr>
    <w:rPr>
      <w:rFonts w:ascii="Times New Roman" w:eastAsia="Times New Roman" w:hAnsi="Times New Roman" w:cs="Mangal"/>
      <w:kern w:val="1"/>
      <w:lang w:eastAsia="zh-CN" w:bidi="hi-IN"/>
    </w:rPr>
  </w:style>
  <w:style w:type="paragraph" w:customStyle="1" w:styleId="Lista21">
    <w:name w:val="Lista 21"/>
    <w:basedOn w:val="Normalny"/>
    <w:pPr>
      <w:widowControl w:val="0"/>
      <w:suppressAutoHyphens/>
      <w:autoSpaceDE w:val="0"/>
      <w:ind w:left="566" w:hanging="283"/>
    </w:pPr>
    <w:rPr>
      <w:rFonts w:ascii="Times New Roman" w:eastAsia="Times New Roman" w:hAnsi="Times New Roman" w:cs="Times New Roman"/>
      <w:lang w:eastAsia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PSMT" w:eastAsia="Times New Roman" w:hAnsi="Times New Roman PSMT" w:cs="Times New Roman PSMT"/>
      <w:color w:val="000000"/>
      <w:sz w:val="24"/>
      <w:szCs w:val="24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Tekstpodstawowy2">
    <w:name w:val="Body Text 2"/>
    <w:basedOn w:val="Normalny"/>
    <w:link w:val="Tekstpodstawowy2Znak"/>
    <w:pPr>
      <w:suppressAutoHyphens/>
      <w:spacing w:after="120" w:line="480" w:lineRule="auto"/>
    </w:pPr>
    <w:rPr>
      <w:rFonts w:ascii="Times New Roman" w:eastAsia="Times New Roman" w:hAnsi="Times New Roman" w:cs="Times New Roman"/>
      <w:kern w:val="1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Pr>
      <w:rFonts w:ascii="Times New Roman" w:eastAsia="Times New Roman" w:hAnsi="Times New Roman" w:cs="Times New Roman"/>
      <w:kern w:val="1"/>
      <w:sz w:val="24"/>
      <w:szCs w:val="24"/>
      <w:lang w:val="en-US" w:eastAsia="zh-CN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pl-PL"/>
    </w:rPr>
  </w:style>
  <w:style w:type="character" w:styleId="Odwoaniedokomentarza">
    <w:name w:val="annotation reference"/>
    <w:rPr>
      <w:sz w:val="16"/>
      <w:szCs w:val="16"/>
    </w:rPr>
  </w:style>
  <w:style w:type="paragraph" w:styleId="Tekstkomentarza">
    <w:name w:val="annotation text"/>
    <w:basedOn w:val="Normalny"/>
    <w:link w:val="TekstkomentarzaZnak"/>
    <w:pPr>
      <w:suppressAutoHyphens/>
    </w:pPr>
    <w:rPr>
      <w:rFonts w:ascii="Times New Roman" w:eastAsia="Times New Roman" w:hAnsi="Times New Roman" w:cs="Times New Roman"/>
      <w:kern w:val="1"/>
      <w:sz w:val="20"/>
      <w:szCs w:val="20"/>
      <w:lang w:val="en-US" w:eastAsia="zh-CN"/>
    </w:rPr>
  </w:style>
  <w:style w:type="character" w:customStyle="1" w:styleId="TekstkomentarzaZnak">
    <w:name w:val="Tekst komentarza Znak"/>
    <w:basedOn w:val="Domylnaczcionkaakapitu"/>
    <w:link w:val="Tekstkomentarza"/>
    <w:rPr>
      <w:rFonts w:ascii="Times New Roman" w:eastAsia="Times New Roman" w:hAnsi="Times New Roman" w:cs="Times New Roman"/>
      <w:kern w:val="1"/>
      <w:sz w:val="20"/>
      <w:szCs w:val="20"/>
      <w:lang w:val="en-US" w:eastAsia="zh-CN"/>
    </w:rPr>
  </w:style>
  <w:style w:type="paragraph" w:styleId="Tematkomentarza">
    <w:name w:val="annotation subject"/>
    <w:basedOn w:val="Tekstkomentarza"/>
    <w:next w:val="Tekstkomentarza"/>
    <w:link w:val="TematkomentarzaZnak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Pr>
      <w:rFonts w:ascii="Times New Roman" w:eastAsia="Times New Roman" w:hAnsi="Times New Roman" w:cs="Times New Roman"/>
      <w:b/>
      <w:bCs/>
      <w:kern w:val="1"/>
      <w:sz w:val="20"/>
      <w:szCs w:val="20"/>
      <w:lang w:val="en-US" w:eastAsia="zh-CN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link w:val="Akapitzlist"/>
    <w:uiPriority w:val="34"/>
    <w:qFormat/>
    <w:locked/>
    <w:rPr>
      <w:rFonts w:ascii="Calibri" w:eastAsia="Times New Roman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 w:line="276" w:lineRule="auto"/>
      <w:ind w:left="283"/>
    </w:pPr>
    <w:rPr>
      <w:rFonts w:ascii="Calibri" w:eastAsia="Calibri" w:hAnsi="Calibri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alibri" w:eastAsia="Calibri" w:hAnsi="Calibri" w:cs="Times New Roman"/>
      <w:sz w:val="20"/>
      <w:szCs w:val="20"/>
      <w:lang w:eastAsia="pl-PL"/>
    </w:rPr>
  </w:style>
  <w:style w:type="paragraph" w:customStyle="1" w:styleId="Bezodstpw1">
    <w:name w:val="Bez odstępów1"/>
    <w:pPr>
      <w:spacing w:after="0" w:line="240" w:lineRule="auto"/>
    </w:pPr>
    <w:rPr>
      <w:rFonts w:ascii="Cambria" w:eastAsia="Times New Roman" w:hAnsi="Cambria" w:cs="Cambria"/>
      <w:sz w:val="24"/>
      <w:szCs w:val="24"/>
      <w:lang w:val="cs-CZ" w:eastAsia="pl-PL"/>
    </w:rPr>
  </w:style>
  <w:style w:type="paragraph" w:styleId="NormalnyWeb">
    <w:name w:val="Normal (Web)"/>
    <w:basedOn w:val="Normalny"/>
    <w:pPr>
      <w:widowControl w:val="0"/>
      <w:suppressAutoHyphens/>
      <w:spacing w:before="280" w:after="280" w:line="100" w:lineRule="atLeast"/>
      <w:textAlignment w:val="baseline"/>
    </w:pPr>
    <w:rPr>
      <w:rFonts w:ascii="Times New Roman" w:eastAsia="Andale Sans UI" w:hAnsi="Times New Roman" w:cs="Tahoma"/>
      <w:kern w:val="1"/>
      <w:lang w:val="de-DE" w:eastAsia="fa-IR" w:bidi="fa-IR"/>
    </w:rPr>
  </w:style>
  <w:style w:type="character" w:customStyle="1" w:styleId="ListParagraphChar">
    <w:name w:val="List Paragraph Char"/>
    <w:link w:val="Akapitzlist1"/>
    <w:locked/>
  </w:style>
  <w:style w:type="paragraph" w:customStyle="1" w:styleId="Akapitzlist1">
    <w:name w:val="Akapit z listą1"/>
    <w:basedOn w:val="Normalny"/>
    <w:link w:val="ListParagraphChar"/>
    <w:qFormat/>
    <w:pPr>
      <w:suppressAutoHyphens/>
      <w:spacing w:after="200" w:line="276" w:lineRule="auto"/>
      <w:ind w:left="720"/>
      <w:contextualSpacing/>
    </w:pPr>
    <w:rPr>
      <w:sz w:val="22"/>
      <w:szCs w:val="22"/>
    </w:rPr>
  </w:style>
  <w:style w:type="paragraph" w:styleId="Zwykytekst">
    <w:name w:val="Plain Text"/>
    <w:basedOn w:val="Normalny"/>
    <w:link w:val="ZwykytekstZnak"/>
    <w:uiPriority w:val="99"/>
    <w:unhideWhenUsed/>
    <w:rPr>
      <w:rFonts w:ascii="Calibri" w:eastAsia="Calibri" w:hAnsi="Calibri" w:cs="Times New Roman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alibri" w:eastAsia="Calibri" w:hAnsi="Calibri" w:cs="Times New Roman"/>
      <w:szCs w:val="21"/>
    </w:rPr>
  </w:style>
  <w:style w:type="paragraph" w:styleId="Tekstpodstawowy3">
    <w:name w:val="Body Text 3"/>
    <w:basedOn w:val="Normalny"/>
    <w:link w:val="Tekstpodstawowy3Znak"/>
    <w:pPr>
      <w:spacing w:after="120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Znak">
    <w:name w:val="Znak"/>
    <w:basedOn w:val="Normalny"/>
    <w:rPr>
      <w:rFonts w:ascii="Arial" w:eastAsia="Times New Roman" w:hAnsi="Arial" w:cs="Arial"/>
      <w:lang w:eastAsia="pl-PL"/>
    </w:rPr>
  </w:style>
  <w:style w:type="paragraph" w:customStyle="1" w:styleId="Listapunktowana1">
    <w:name w:val="Lista punktowana1"/>
    <w:basedOn w:val="Normalny"/>
    <w:pPr>
      <w:tabs>
        <w:tab w:val="num" w:pos="0"/>
      </w:tabs>
      <w:suppressAutoHyphens/>
      <w:spacing w:after="200" w:line="276" w:lineRule="auto"/>
      <w:ind w:left="432" w:hanging="432"/>
    </w:pPr>
    <w:rPr>
      <w:rFonts w:ascii="Calibri" w:eastAsia="Times New Roman" w:hAnsi="Calibri" w:cs="Calibri"/>
      <w:kern w:val="1"/>
      <w:sz w:val="22"/>
      <w:szCs w:val="22"/>
      <w:lang w:eastAsia="ar-SA"/>
    </w:rPr>
  </w:style>
  <w:style w:type="paragraph" w:customStyle="1" w:styleId="pkt">
    <w:name w:val="pkt"/>
    <w:basedOn w:val="Normalny"/>
    <w:pPr>
      <w:suppressAutoHyphens/>
      <w:spacing w:before="60" w:after="60"/>
      <w:ind w:left="851" w:hanging="295"/>
      <w:jc w:val="both"/>
    </w:pPr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A8">
    <w:name w:val="A8"/>
    <w:rPr>
      <w:rFonts w:ascii="AmplitudeCE Book" w:hAnsi="AmplitudeCE Book" w:cs="AmplitudeCE Book"/>
      <w:color w:val="000000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numbering" w:customStyle="1" w:styleId="Bezlisty1">
    <w:name w:val="Bez listy1"/>
    <w:next w:val="Bezlisty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800080"/>
      <w:u w:val="single"/>
    </w:rPr>
  </w:style>
  <w:style w:type="paragraph" w:customStyle="1" w:styleId="xl64">
    <w:name w:val="xl6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65">
    <w:name w:val="xl65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66">
    <w:name w:val="xl6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E" w:eastAsia="Times New Roman" w:hAnsi="Arial CE" w:cs="Times New Roman"/>
      <w:lang w:eastAsia="pl-PL"/>
    </w:rPr>
  </w:style>
  <w:style w:type="paragraph" w:customStyle="1" w:styleId="xl67">
    <w:name w:val="xl6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68">
    <w:name w:val="xl68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lang w:eastAsia="pl-PL"/>
    </w:rPr>
  </w:style>
  <w:style w:type="paragraph" w:customStyle="1" w:styleId="xl69">
    <w:name w:val="xl69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omic Sans MS" w:eastAsia="Times New Roman" w:hAnsi="Comic Sans MS" w:cs="Times New Roman"/>
      <w:b/>
      <w:bCs/>
      <w:i/>
      <w:iCs/>
      <w:sz w:val="28"/>
      <w:szCs w:val="28"/>
      <w:lang w:eastAsia="pl-PL"/>
    </w:rPr>
  </w:style>
  <w:style w:type="paragraph" w:customStyle="1" w:styleId="xl70">
    <w:name w:val="xl70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omic Sans MS" w:eastAsia="Times New Roman" w:hAnsi="Comic Sans MS" w:cs="Times New Roman"/>
      <w:b/>
      <w:bCs/>
      <w:i/>
      <w:iCs/>
      <w:sz w:val="28"/>
      <w:szCs w:val="28"/>
      <w:lang w:eastAsia="pl-PL"/>
    </w:rPr>
  </w:style>
  <w:style w:type="paragraph" w:customStyle="1" w:styleId="xl71">
    <w:name w:val="xl7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72">
    <w:name w:val="xl72"/>
    <w:basedOn w:val="Normalny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i/>
      <w:iCs/>
      <w:lang w:eastAsia="pl-PL"/>
    </w:rPr>
  </w:style>
  <w:style w:type="paragraph" w:customStyle="1" w:styleId="xl73">
    <w:name w:val="xl73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CE" w:eastAsia="Times New Roman" w:hAnsi="Arial CE" w:cs="Times New Roman"/>
      <w:lang w:eastAsia="pl-PL"/>
    </w:rPr>
  </w:style>
  <w:style w:type="paragraph" w:customStyle="1" w:styleId="xl74">
    <w:name w:val="xl74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75">
    <w:name w:val="xl75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76">
    <w:name w:val="xl76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77">
    <w:name w:val="xl77"/>
    <w:basedOn w:val="Normalny"/>
    <w:pPr>
      <w:pBdr>
        <w:top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i/>
      <w:iCs/>
      <w:lang w:eastAsia="pl-PL"/>
    </w:rPr>
  </w:style>
  <w:style w:type="paragraph" w:customStyle="1" w:styleId="xl78">
    <w:name w:val="xl78"/>
    <w:basedOn w:val="Normalny"/>
    <w:pP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paragraph" w:customStyle="1" w:styleId="xl79">
    <w:name w:val="xl79"/>
    <w:basedOn w:val="Normalny"/>
    <w:pPr>
      <w:pBdr>
        <w:top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80">
    <w:name w:val="xl80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81">
    <w:name w:val="xl81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E" w:eastAsia="Times New Roman" w:hAnsi="Arial CE" w:cs="Times New Roman"/>
      <w:lang w:eastAsia="pl-PL"/>
    </w:rPr>
  </w:style>
  <w:style w:type="paragraph" w:customStyle="1" w:styleId="xl82">
    <w:name w:val="xl82"/>
    <w:basedOn w:val="Normalny"/>
    <w:pPr>
      <w:shd w:val="clear" w:color="000000" w:fill="FFFF00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i/>
      <w:iCs/>
      <w:lang w:eastAsia="pl-PL"/>
    </w:rPr>
  </w:style>
  <w:style w:type="paragraph" w:customStyle="1" w:styleId="xl83">
    <w:name w:val="xl83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E" w:eastAsia="Times New Roman" w:hAnsi="Arial CE" w:cs="Times New Roman"/>
      <w:lang w:eastAsia="pl-PL"/>
    </w:rPr>
  </w:style>
  <w:style w:type="paragraph" w:customStyle="1" w:styleId="xl84">
    <w:name w:val="xl84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85">
    <w:name w:val="xl85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Comic Sans MS" w:eastAsia="Times New Roman" w:hAnsi="Comic Sans MS" w:cs="Times New Roman"/>
      <w:b/>
      <w:bCs/>
      <w:i/>
      <w:iCs/>
      <w:lang w:eastAsia="pl-PL"/>
    </w:rPr>
  </w:style>
  <w:style w:type="paragraph" w:customStyle="1" w:styleId="xl86">
    <w:name w:val="xl86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lang w:eastAsia="pl-PL"/>
    </w:rPr>
  </w:style>
  <w:style w:type="paragraph" w:customStyle="1" w:styleId="xl87">
    <w:name w:val="xl8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color w:val="FF0000"/>
      <w:lang w:eastAsia="pl-PL"/>
    </w:rPr>
  </w:style>
  <w:style w:type="paragraph" w:customStyle="1" w:styleId="xl88">
    <w:name w:val="xl88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E" w:eastAsia="Times New Roman" w:hAnsi="Arial CE" w:cs="Times New Roman"/>
      <w:color w:val="FF0000"/>
      <w:lang w:eastAsia="pl-PL"/>
    </w:rPr>
  </w:style>
  <w:style w:type="paragraph" w:customStyle="1" w:styleId="xl89">
    <w:name w:val="xl89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color w:val="FF0000"/>
      <w:lang w:eastAsia="pl-PL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0"/>
      <w:szCs w:val="20"/>
    </w:rPr>
  </w:style>
  <w:style w:type="numbering" w:customStyle="1" w:styleId="Bezlisty11">
    <w:name w:val="Bez listy11"/>
    <w:next w:val="Bezlisty"/>
    <w:uiPriority w:val="99"/>
    <w:semiHidden/>
    <w:unhideWhenUsed/>
  </w:style>
  <w:style w:type="paragraph" w:customStyle="1" w:styleId="Tekstblokowy1">
    <w:name w:val="Tekst blokowy1"/>
    <w:basedOn w:val="Normalny"/>
    <w:pPr>
      <w:suppressAutoHyphens/>
      <w:ind w:left="1701" w:right="-709" w:hanging="1701"/>
    </w:pPr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Teksttreci">
    <w:name w:val="Tekst treś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pl-PL"/>
    </w:rPr>
  </w:style>
  <w:style w:type="paragraph" w:customStyle="1" w:styleId="Styl">
    <w:name w:val="Styl"/>
    <w:basedOn w:val="Normalny"/>
    <w:uiPriority w:val="1"/>
    <w:pPr>
      <w:widowControl w:val="0"/>
    </w:pPr>
    <w:rPr>
      <w:rFonts w:ascii="Times New Roman" w:eastAsia="Arial Unicode MS" w:hAnsi="Times New Roman" w:cs="Arial Unicode MS"/>
      <w:color w:val="000000" w:themeColor="text1"/>
    </w:rPr>
  </w:style>
  <w:style w:type="paragraph" w:customStyle="1" w:styleId="Normalny1">
    <w:name w:val="Normalny1"/>
    <w:pPr>
      <w:widowControl w:val="0"/>
      <w:suppressAutoHyphens/>
      <w:spacing w:after="0" w:line="240" w:lineRule="auto"/>
    </w:pPr>
    <w:rPr>
      <w:rFonts w:ascii="Times New Roman" w:eastAsia="Times New Roman" w:hAnsi="Times New Roman" w:cs="Arial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695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Derwisz</dc:creator>
  <cp:lastModifiedBy>Monika Derwisz</cp:lastModifiedBy>
  <cp:revision>15</cp:revision>
  <cp:lastPrinted>2024-12-24T06:54:00Z</cp:lastPrinted>
  <dcterms:created xsi:type="dcterms:W3CDTF">2024-12-17T12:12:00Z</dcterms:created>
  <dcterms:modified xsi:type="dcterms:W3CDTF">2025-09-18T05:17:00Z</dcterms:modified>
</cp:coreProperties>
</file>